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84" w:lineRule="exact"/>
        <w:jc w:val="center"/>
        <w:rPr>
          <w:rFonts w:ascii="宋体" w:hAnsi="宋体"/>
          <w:b w:val="0"/>
          <w:color w:val="000000"/>
          <w:kern w:val="0"/>
        </w:rPr>
      </w:pPr>
      <w:r>
        <w:rPr>
          <w:rFonts w:ascii="宋体" w:hAnsi="宋体"/>
          <w:b w:val="0"/>
          <w:color w:val="000000"/>
          <w:kern w:val="0"/>
        </w:rPr>
        <w:t>第三部分部门决算情况说明</w:t>
      </w:r>
    </w:p>
    <w:p/>
    <w:p>
      <w:pPr>
        <w:pStyle w:val="3"/>
        <w:spacing w:before="0" w:after="0" w:line="584" w:lineRule="exact"/>
        <w:ind w:firstLine="640" w:firstLineChars="200"/>
        <w:rPr>
          <w:rFonts w:ascii="黑体" w:hAnsi="黑体" w:eastAsia="黑体"/>
          <w:b w:val="0"/>
        </w:rPr>
      </w:pPr>
      <w:r>
        <w:rPr>
          <w:rFonts w:ascii="黑体" w:hAnsi="黑体" w:eastAsia="黑体"/>
          <w:b w:val="0"/>
        </w:rPr>
        <w:t>一、收入</w:t>
      </w:r>
      <w:r>
        <w:rPr>
          <w:rFonts w:ascii="黑体" w:hAnsi="黑体" w:eastAsia="黑体"/>
          <w:b w:val="0"/>
          <w:kern w:val="0"/>
        </w:rPr>
        <w:t>支出</w:t>
      </w:r>
      <w:r>
        <w:rPr>
          <w:rFonts w:ascii="黑体" w:hAnsi="黑体" w:eastAsia="黑体"/>
          <w:b w:val="0"/>
        </w:rPr>
        <w:t>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本部门2017年度年初结转和结余</w:t>
      </w:r>
      <w:r>
        <w:rPr>
          <w:rFonts w:hint="eastAsia" w:ascii="仿宋" w:hAnsi="仿宋" w:eastAsia="仿宋"/>
          <w:sz w:val="32"/>
          <w:szCs w:val="32"/>
        </w:rPr>
        <w:t>50.16</w:t>
      </w:r>
      <w:r>
        <w:rPr>
          <w:rFonts w:ascii="仿宋" w:hAnsi="仿宋" w:eastAsia="仿宋"/>
          <w:sz w:val="32"/>
          <w:szCs w:val="32"/>
        </w:rPr>
        <w:t>万元，本年收入</w:t>
      </w:r>
      <w:r>
        <w:rPr>
          <w:rFonts w:hint="eastAsia" w:ascii="仿宋" w:hAnsi="仿宋" w:eastAsia="仿宋"/>
          <w:sz w:val="32"/>
          <w:szCs w:val="32"/>
        </w:rPr>
        <w:t>468.10</w:t>
      </w:r>
      <w:r>
        <w:rPr>
          <w:rFonts w:ascii="仿宋" w:hAnsi="仿宋" w:eastAsia="仿宋"/>
          <w:sz w:val="32"/>
          <w:szCs w:val="32"/>
        </w:rPr>
        <w:t>万元；本年支出</w:t>
      </w:r>
      <w:r>
        <w:rPr>
          <w:rFonts w:hint="eastAsia" w:ascii="仿宋" w:hAnsi="仿宋" w:eastAsia="仿宋"/>
          <w:sz w:val="32"/>
          <w:szCs w:val="32"/>
        </w:rPr>
        <w:t>504.97</w:t>
      </w:r>
      <w:r>
        <w:rPr>
          <w:rFonts w:ascii="仿宋" w:hAnsi="仿宋" w:eastAsia="仿宋"/>
          <w:sz w:val="32"/>
          <w:szCs w:val="32"/>
        </w:rPr>
        <w:t>万元、年末结转和结余</w:t>
      </w:r>
      <w:r>
        <w:rPr>
          <w:rFonts w:hint="eastAsia" w:ascii="仿宋" w:hAnsi="仿宋" w:eastAsia="仿宋"/>
          <w:sz w:val="32"/>
          <w:szCs w:val="32"/>
        </w:rPr>
        <w:t>13.30</w:t>
      </w:r>
      <w:r>
        <w:rPr>
          <w:rFonts w:ascii="仿宋" w:hAnsi="仿宋" w:eastAsia="仿宋"/>
          <w:sz w:val="32"/>
          <w:szCs w:val="32"/>
        </w:rPr>
        <w:t>万元。与2016年度决算相比，本年收入减少</w:t>
      </w:r>
      <w:r>
        <w:rPr>
          <w:rFonts w:hint="eastAsia" w:ascii="仿宋" w:hAnsi="仿宋" w:eastAsia="仿宋"/>
          <w:sz w:val="32"/>
          <w:szCs w:val="32"/>
        </w:rPr>
        <w:t>173.95</w:t>
      </w:r>
      <w:r>
        <w:rPr>
          <w:rFonts w:ascii="仿宋" w:hAnsi="仿宋" w:eastAsia="仿宋"/>
          <w:sz w:val="32"/>
          <w:szCs w:val="32"/>
        </w:rPr>
        <w:t>万元，降低</w:t>
      </w:r>
      <w:r>
        <w:rPr>
          <w:rFonts w:hint="eastAsia" w:ascii="仿宋" w:hAnsi="仿宋" w:eastAsia="仿宋"/>
          <w:sz w:val="32"/>
          <w:szCs w:val="32"/>
        </w:rPr>
        <w:t>27</w:t>
      </w:r>
      <w:r>
        <w:rPr>
          <w:rFonts w:ascii="仿宋" w:hAnsi="仿宋" w:eastAsia="仿宋"/>
          <w:sz w:val="32"/>
          <w:szCs w:val="32"/>
        </w:rPr>
        <w:t>%，主要</w:t>
      </w:r>
      <w:r>
        <w:rPr>
          <w:rFonts w:hint="eastAsia" w:ascii="仿宋" w:hAnsi="仿宋" w:eastAsia="仿宋"/>
          <w:sz w:val="32"/>
          <w:szCs w:val="32"/>
        </w:rPr>
        <w:t>是企业退休人员基本医疗保险不再缴纳</w:t>
      </w:r>
      <w:r>
        <w:rPr>
          <w:rFonts w:ascii="仿宋" w:hAnsi="仿宋" w:eastAsia="仿宋"/>
          <w:sz w:val="32"/>
          <w:szCs w:val="32"/>
        </w:rPr>
        <w:t>；本年支出减少</w:t>
      </w:r>
      <w:r>
        <w:rPr>
          <w:rFonts w:hint="eastAsia" w:ascii="仿宋" w:hAnsi="仿宋" w:eastAsia="仿宋"/>
          <w:sz w:val="32"/>
          <w:szCs w:val="32"/>
        </w:rPr>
        <w:t>127.24</w:t>
      </w:r>
      <w:r>
        <w:rPr>
          <w:rFonts w:ascii="仿宋" w:hAnsi="仿宋" w:eastAsia="仿宋"/>
          <w:sz w:val="32"/>
          <w:szCs w:val="32"/>
        </w:rPr>
        <w:t>万元，降低</w:t>
      </w:r>
      <w:r>
        <w:rPr>
          <w:rFonts w:hint="eastAsia" w:ascii="仿宋" w:hAnsi="仿宋" w:eastAsia="仿宋"/>
          <w:sz w:val="32"/>
          <w:szCs w:val="32"/>
        </w:rPr>
        <w:t>20</w:t>
      </w:r>
      <w:r>
        <w:rPr>
          <w:rFonts w:ascii="仿宋" w:hAnsi="仿宋" w:eastAsia="仿宋"/>
          <w:sz w:val="32"/>
          <w:szCs w:val="32"/>
        </w:rPr>
        <w:t>%，主要是</w:t>
      </w:r>
      <w:r>
        <w:rPr>
          <w:rFonts w:hint="eastAsia" w:ascii="仿宋" w:hAnsi="仿宋" w:eastAsia="仿宋"/>
          <w:sz w:val="32"/>
          <w:szCs w:val="32"/>
        </w:rPr>
        <w:t>企业退休人员基本医疗保险不再缴纳</w:t>
      </w:r>
      <w:r>
        <w:rPr>
          <w:rFonts w:ascii="仿宋" w:hAnsi="仿宋" w:eastAsia="仿宋"/>
          <w:sz w:val="32"/>
          <w:szCs w:val="32"/>
        </w:rPr>
        <w:t>。</w:t>
      </w:r>
    </w:p>
    <w:p>
      <w:pPr>
        <w:pStyle w:val="3"/>
        <w:adjustRightInd w:val="0"/>
        <w:spacing w:before="0" w:after="0" w:line="584" w:lineRule="exact"/>
        <w:ind w:firstLine="640" w:firstLineChars="200"/>
        <w:rPr>
          <w:rFonts w:ascii="黑体" w:hAnsi="黑体" w:eastAsia="黑体"/>
          <w:b w:val="0"/>
        </w:rPr>
      </w:pPr>
      <w:r>
        <w:rPr>
          <w:rFonts w:ascii="黑体" w:hAnsi="黑体" w:eastAsia="黑体"/>
          <w:b w:val="0"/>
        </w:rPr>
        <w:t>二、收入决算情况说明</w:t>
      </w:r>
    </w:p>
    <w:p>
      <w:pPr>
        <w:pStyle w:val="3"/>
        <w:spacing w:before="0" w:after="0" w:line="584" w:lineRule="exact"/>
        <w:ind w:firstLine="640" w:firstLineChars="200"/>
        <w:rPr>
          <w:rFonts w:ascii="仿宋" w:hAnsi="仿宋" w:eastAsia="仿宋"/>
          <w:b w:val="0"/>
        </w:rPr>
      </w:pPr>
      <w:r>
        <w:rPr>
          <w:rFonts w:ascii="仿宋" w:hAnsi="仿宋" w:eastAsia="仿宋"/>
          <w:b w:val="0"/>
        </w:rPr>
        <w:t>本部门2017年度本年收入合计</w:t>
      </w:r>
      <w:r>
        <w:rPr>
          <w:rFonts w:hint="eastAsia" w:ascii="仿宋" w:hAnsi="仿宋" w:eastAsia="仿宋"/>
          <w:b w:val="0"/>
        </w:rPr>
        <w:t>468.10</w:t>
      </w:r>
      <w:r>
        <w:rPr>
          <w:rFonts w:ascii="仿宋" w:hAnsi="仿宋" w:eastAsia="仿宋"/>
          <w:b w:val="0"/>
        </w:rPr>
        <w:t>万元，其中：财政拨款收入</w:t>
      </w:r>
      <w:r>
        <w:rPr>
          <w:rFonts w:hint="eastAsia" w:ascii="仿宋" w:hAnsi="仿宋" w:eastAsia="仿宋"/>
          <w:b w:val="0"/>
        </w:rPr>
        <w:t>457.44</w:t>
      </w:r>
      <w:r>
        <w:rPr>
          <w:rFonts w:ascii="仿宋" w:hAnsi="仿宋" w:eastAsia="仿宋"/>
          <w:b w:val="0"/>
        </w:rPr>
        <w:t>万元，占</w:t>
      </w:r>
      <w:r>
        <w:rPr>
          <w:rFonts w:hint="eastAsia" w:ascii="仿宋" w:hAnsi="仿宋" w:eastAsia="仿宋"/>
          <w:b w:val="0"/>
        </w:rPr>
        <w:t>98</w:t>
      </w:r>
      <w:r>
        <w:rPr>
          <w:rFonts w:ascii="仿宋" w:hAnsi="仿宋" w:eastAsia="仿宋"/>
          <w:b w:val="0"/>
        </w:rPr>
        <w:t>%；其他收入</w:t>
      </w:r>
      <w:r>
        <w:rPr>
          <w:rFonts w:hint="eastAsia" w:ascii="仿宋" w:hAnsi="仿宋" w:eastAsia="仿宋"/>
          <w:b w:val="0"/>
        </w:rPr>
        <w:t>10.66</w:t>
      </w:r>
      <w:r>
        <w:rPr>
          <w:rFonts w:ascii="仿宋" w:hAnsi="仿宋" w:eastAsia="仿宋"/>
          <w:b w:val="0"/>
        </w:rPr>
        <w:t>万元，占</w:t>
      </w:r>
      <w:r>
        <w:rPr>
          <w:rFonts w:hint="eastAsia" w:ascii="仿宋" w:hAnsi="仿宋" w:eastAsia="仿宋"/>
          <w:b w:val="0"/>
        </w:rPr>
        <w:t>2</w:t>
      </w:r>
      <w:r>
        <w:rPr>
          <w:rFonts w:ascii="仿宋" w:hAnsi="仿宋" w:eastAsia="仿宋"/>
          <w:b w:val="0"/>
        </w:rPr>
        <w:t>%。</w:t>
      </w:r>
    </w:p>
    <w:p>
      <w:pPr>
        <w:pStyle w:val="3"/>
        <w:spacing w:before="0" w:after="0" w:line="584" w:lineRule="exact"/>
        <w:ind w:firstLine="640" w:firstLineChars="200"/>
        <w:rPr>
          <w:rFonts w:ascii="黑体" w:hAnsi="黑体" w:eastAsia="黑体"/>
          <w:b w:val="0"/>
        </w:rPr>
      </w:pPr>
      <w:r>
        <w:rPr>
          <w:rFonts w:ascii="黑体" w:hAnsi="黑体" w:eastAsia="黑体"/>
          <w:b w:val="0"/>
        </w:rPr>
        <w:t>三、支出决算情况说明</w:t>
      </w:r>
    </w:p>
    <w:p>
      <w:pPr>
        <w:pStyle w:val="3"/>
        <w:spacing w:before="0" w:after="0" w:line="584" w:lineRule="exact"/>
        <w:ind w:firstLine="640" w:firstLineChars="200"/>
        <w:rPr>
          <w:rFonts w:ascii="仿宋" w:hAnsi="仿宋" w:eastAsia="仿宋"/>
          <w:b w:val="0"/>
        </w:rPr>
      </w:pPr>
      <w:r>
        <w:rPr>
          <w:rFonts w:ascii="仿宋" w:hAnsi="仿宋" w:eastAsia="仿宋"/>
          <w:b w:val="0"/>
        </w:rPr>
        <w:t>本部门2017年度本年支出合计</w:t>
      </w:r>
      <w:r>
        <w:rPr>
          <w:rFonts w:hint="eastAsia" w:ascii="仿宋" w:hAnsi="仿宋" w:eastAsia="仿宋"/>
          <w:b w:val="0"/>
        </w:rPr>
        <w:t>504.97</w:t>
      </w:r>
      <w:r>
        <w:rPr>
          <w:rFonts w:ascii="仿宋" w:hAnsi="仿宋" w:eastAsia="仿宋"/>
          <w:b w:val="0"/>
        </w:rPr>
        <w:t>万元，其中：基本支出</w:t>
      </w:r>
      <w:r>
        <w:rPr>
          <w:rFonts w:hint="eastAsia" w:ascii="仿宋" w:hAnsi="仿宋" w:eastAsia="仿宋"/>
          <w:b w:val="0"/>
        </w:rPr>
        <w:t>420.88</w:t>
      </w:r>
      <w:r>
        <w:rPr>
          <w:rFonts w:ascii="仿宋" w:hAnsi="仿宋" w:eastAsia="仿宋"/>
          <w:b w:val="0"/>
        </w:rPr>
        <w:t>万元，占</w:t>
      </w:r>
      <w:r>
        <w:rPr>
          <w:rFonts w:hint="eastAsia" w:ascii="仿宋" w:hAnsi="仿宋" w:eastAsia="仿宋"/>
          <w:b w:val="0"/>
        </w:rPr>
        <w:t>83</w:t>
      </w:r>
      <w:r>
        <w:rPr>
          <w:rFonts w:ascii="仿宋" w:hAnsi="仿宋" w:eastAsia="仿宋"/>
          <w:b w:val="0"/>
        </w:rPr>
        <w:t>%；项目支出</w:t>
      </w:r>
      <w:r>
        <w:rPr>
          <w:rFonts w:hint="eastAsia" w:ascii="仿宋" w:hAnsi="仿宋" w:eastAsia="仿宋"/>
          <w:b w:val="0"/>
        </w:rPr>
        <w:t>84.09</w:t>
      </w:r>
      <w:r>
        <w:rPr>
          <w:rFonts w:ascii="仿宋" w:hAnsi="仿宋" w:eastAsia="仿宋"/>
          <w:b w:val="0"/>
        </w:rPr>
        <w:t>万元，占</w:t>
      </w:r>
      <w:r>
        <w:rPr>
          <w:rFonts w:hint="eastAsia" w:ascii="仿宋" w:hAnsi="仿宋" w:eastAsia="仿宋"/>
          <w:b w:val="0"/>
        </w:rPr>
        <w:t>17</w:t>
      </w:r>
      <w:r>
        <w:rPr>
          <w:rFonts w:ascii="仿宋" w:hAnsi="仿宋" w:eastAsia="仿宋"/>
          <w:b w:val="0"/>
        </w:rPr>
        <w:t>%。</w:t>
      </w:r>
    </w:p>
    <w:p>
      <w:pPr>
        <w:pStyle w:val="3"/>
        <w:spacing w:before="0" w:after="0" w:line="584" w:lineRule="exact"/>
        <w:ind w:firstLine="640" w:firstLineChars="200"/>
        <w:rPr>
          <w:rFonts w:ascii="黑体" w:hAnsi="黑体" w:eastAsia="黑体"/>
          <w:b w:val="0"/>
        </w:rPr>
      </w:pPr>
      <w:r>
        <w:rPr>
          <w:rFonts w:ascii="黑体" w:hAnsi="黑体" w:eastAsia="黑体"/>
          <w:b w:val="0"/>
        </w:rPr>
        <w:t>四、</w:t>
      </w:r>
      <w:r>
        <w:rPr>
          <w:rFonts w:ascii="黑体" w:hAnsi="黑体" w:eastAsia="黑体"/>
          <w:b w:val="0"/>
          <w:kern w:val="0"/>
        </w:rPr>
        <w:t>财政</w:t>
      </w:r>
      <w:r>
        <w:rPr>
          <w:rFonts w:ascii="黑体" w:hAnsi="黑体" w:eastAsia="黑体"/>
          <w:b w:val="0"/>
        </w:rPr>
        <w:t>拨款收入支出决算总体情况说明</w:t>
      </w:r>
    </w:p>
    <w:p>
      <w:pPr>
        <w:spacing w:line="584" w:lineRule="exact"/>
        <w:ind w:firstLine="643" w:firstLineChars="200"/>
        <w:rPr>
          <w:rFonts w:ascii="楷体" w:hAnsi="楷体" w:eastAsia="楷体"/>
          <w:b/>
          <w:bCs/>
          <w:sz w:val="32"/>
          <w:szCs w:val="32"/>
        </w:rPr>
      </w:pPr>
      <w:r>
        <w:rPr>
          <w:rFonts w:ascii="楷体" w:hAnsi="楷体" w:eastAsia="楷体"/>
          <w:b/>
          <w:bCs/>
          <w:sz w:val="32"/>
          <w:szCs w:val="32"/>
        </w:rPr>
        <w:t>（一）财政拨款收支与2016 年度决算对比情况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本部门2017年度财政拨款收支全部为一般公共预算财政拨款收支。一般公共预算财政拨款年初结转和结余</w:t>
      </w:r>
      <w:r>
        <w:rPr>
          <w:rFonts w:hint="eastAsia" w:ascii="仿宋" w:hAnsi="仿宋" w:eastAsia="仿宋"/>
          <w:sz w:val="32"/>
          <w:szCs w:val="32"/>
        </w:rPr>
        <w:t>50.10</w:t>
      </w:r>
      <w:r>
        <w:rPr>
          <w:rFonts w:ascii="仿宋" w:hAnsi="仿宋" w:eastAsia="仿宋"/>
          <w:sz w:val="32"/>
          <w:szCs w:val="32"/>
        </w:rPr>
        <w:t>万元、本年收入</w:t>
      </w:r>
      <w:r>
        <w:rPr>
          <w:rFonts w:hint="eastAsia" w:ascii="仿宋" w:hAnsi="仿宋" w:eastAsia="仿宋"/>
          <w:sz w:val="32"/>
          <w:szCs w:val="32"/>
        </w:rPr>
        <w:t>457.44</w:t>
      </w:r>
      <w:r>
        <w:rPr>
          <w:rFonts w:ascii="仿宋" w:hAnsi="仿宋" w:eastAsia="仿宋"/>
          <w:sz w:val="32"/>
          <w:szCs w:val="32"/>
        </w:rPr>
        <w:t>万元；本年支出</w:t>
      </w:r>
      <w:r>
        <w:rPr>
          <w:rFonts w:hint="eastAsia" w:ascii="仿宋" w:hAnsi="仿宋" w:eastAsia="仿宋"/>
          <w:sz w:val="32"/>
          <w:szCs w:val="32"/>
        </w:rPr>
        <w:t>500.21</w:t>
      </w:r>
      <w:r>
        <w:rPr>
          <w:rFonts w:ascii="仿宋" w:hAnsi="仿宋" w:eastAsia="仿宋"/>
          <w:sz w:val="32"/>
          <w:szCs w:val="32"/>
        </w:rPr>
        <w:t>万元、年末结转和结余</w:t>
      </w:r>
      <w:r>
        <w:rPr>
          <w:rFonts w:hint="eastAsia" w:ascii="仿宋" w:hAnsi="仿宋" w:eastAsia="仿宋"/>
          <w:sz w:val="32"/>
          <w:szCs w:val="32"/>
        </w:rPr>
        <w:t>7.33</w:t>
      </w:r>
      <w:r>
        <w:rPr>
          <w:rFonts w:ascii="仿宋" w:hAnsi="仿宋" w:eastAsia="仿宋"/>
          <w:sz w:val="32"/>
          <w:szCs w:val="32"/>
        </w:rPr>
        <w:t>万元。与2016年度决算相比，一般公共预算财政拨款本年收入减少</w:t>
      </w:r>
      <w:r>
        <w:rPr>
          <w:rFonts w:hint="eastAsia" w:ascii="仿宋" w:hAnsi="仿宋" w:eastAsia="仿宋"/>
          <w:sz w:val="32"/>
          <w:szCs w:val="32"/>
        </w:rPr>
        <w:t>182.29</w:t>
      </w:r>
      <w:r>
        <w:rPr>
          <w:rFonts w:ascii="仿宋" w:hAnsi="仿宋" w:eastAsia="仿宋"/>
          <w:sz w:val="32"/>
          <w:szCs w:val="32"/>
        </w:rPr>
        <w:t>万元，降低</w:t>
      </w:r>
      <w:r>
        <w:rPr>
          <w:rFonts w:hint="eastAsia" w:ascii="仿宋" w:hAnsi="仿宋" w:eastAsia="仿宋"/>
          <w:sz w:val="32"/>
          <w:szCs w:val="32"/>
        </w:rPr>
        <w:t>28</w:t>
      </w:r>
      <w:r>
        <w:rPr>
          <w:rFonts w:ascii="仿宋" w:hAnsi="仿宋" w:eastAsia="仿宋"/>
          <w:sz w:val="32"/>
          <w:szCs w:val="32"/>
        </w:rPr>
        <w:t>%，主要原因是</w:t>
      </w:r>
      <w:r>
        <w:rPr>
          <w:rFonts w:hint="eastAsia" w:ascii="仿宋" w:hAnsi="仿宋" w:eastAsia="仿宋"/>
          <w:sz w:val="32"/>
          <w:szCs w:val="32"/>
        </w:rPr>
        <w:t>企业退休人员基本医疗保险不再缴纳</w:t>
      </w:r>
      <w:r>
        <w:rPr>
          <w:rFonts w:ascii="仿宋" w:hAnsi="仿宋" w:eastAsia="仿宋"/>
          <w:sz w:val="32"/>
          <w:szCs w:val="32"/>
        </w:rPr>
        <w:t>；本年支出减少</w:t>
      </w:r>
      <w:r>
        <w:rPr>
          <w:rFonts w:hint="eastAsia" w:ascii="仿宋" w:hAnsi="仿宋" w:eastAsia="仿宋"/>
          <w:sz w:val="32"/>
          <w:szCs w:val="32"/>
        </w:rPr>
        <w:t>129.65</w:t>
      </w:r>
      <w:r>
        <w:rPr>
          <w:rFonts w:ascii="仿宋" w:hAnsi="仿宋" w:eastAsia="仿宋"/>
          <w:sz w:val="32"/>
          <w:szCs w:val="32"/>
        </w:rPr>
        <w:t>万元，降低</w:t>
      </w:r>
      <w:r>
        <w:rPr>
          <w:rFonts w:hint="eastAsia" w:ascii="仿宋" w:hAnsi="仿宋" w:eastAsia="仿宋"/>
          <w:sz w:val="32"/>
          <w:szCs w:val="32"/>
        </w:rPr>
        <w:t>21</w:t>
      </w:r>
      <w:r>
        <w:rPr>
          <w:rFonts w:ascii="仿宋" w:hAnsi="仿宋" w:eastAsia="仿宋"/>
          <w:sz w:val="32"/>
          <w:szCs w:val="32"/>
        </w:rPr>
        <w:t>%，主要是原因是</w:t>
      </w:r>
      <w:r>
        <w:rPr>
          <w:rFonts w:hint="eastAsia" w:ascii="仿宋" w:hAnsi="仿宋" w:eastAsia="仿宋"/>
          <w:sz w:val="32"/>
          <w:szCs w:val="32"/>
        </w:rPr>
        <w:t>企业退休人员基本医疗保险不再缴纳</w:t>
      </w:r>
      <w:r>
        <w:rPr>
          <w:rFonts w:ascii="仿宋" w:hAnsi="仿宋" w:eastAsia="仿宋"/>
          <w:sz w:val="32"/>
          <w:szCs w:val="32"/>
        </w:rPr>
        <w:t>。</w:t>
      </w:r>
    </w:p>
    <w:p>
      <w:pPr>
        <w:spacing w:line="584" w:lineRule="exact"/>
        <w:ind w:firstLine="643" w:firstLineChars="200"/>
        <w:rPr>
          <w:rFonts w:ascii="楷体" w:hAnsi="楷体" w:eastAsia="楷体"/>
          <w:b/>
          <w:bCs/>
          <w:sz w:val="32"/>
          <w:szCs w:val="32"/>
        </w:rPr>
      </w:pPr>
      <w:r>
        <w:rPr>
          <w:rFonts w:ascii="楷体" w:hAnsi="楷体" w:eastAsia="楷体"/>
          <w:b/>
          <w:bCs/>
          <w:sz w:val="32"/>
          <w:szCs w:val="32"/>
        </w:rPr>
        <w:t>（二）财政拨款收支与年初预算数对比情况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本部门2017年度一般公共预算财政拨款本年收入较2017年初预算减少</w:t>
      </w:r>
      <w:r>
        <w:rPr>
          <w:rFonts w:hint="eastAsia" w:ascii="仿宋" w:hAnsi="仿宋" w:eastAsia="仿宋"/>
          <w:sz w:val="32"/>
          <w:szCs w:val="32"/>
        </w:rPr>
        <w:t>204.20</w:t>
      </w:r>
      <w:r>
        <w:rPr>
          <w:rFonts w:ascii="仿宋" w:hAnsi="仿宋" w:eastAsia="仿宋"/>
          <w:sz w:val="32"/>
          <w:szCs w:val="32"/>
        </w:rPr>
        <w:t>万元，降低</w:t>
      </w:r>
      <w:r>
        <w:rPr>
          <w:rFonts w:hint="eastAsia" w:ascii="仿宋" w:hAnsi="仿宋" w:eastAsia="仿宋"/>
          <w:sz w:val="32"/>
          <w:szCs w:val="32"/>
        </w:rPr>
        <w:t>31</w:t>
      </w:r>
      <w:r>
        <w:rPr>
          <w:rFonts w:ascii="仿宋" w:hAnsi="仿宋" w:eastAsia="仿宋"/>
          <w:sz w:val="32"/>
          <w:szCs w:val="32"/>
        </w:rPr>
        <w:t>%，主要原因是</w:t>
      </w:r>
      <w:r>
        <w:rPr>
          <w:rFonts w:hint="eastAsia" w:ascii="仿宋" w:hAnsi="仿宋" w:eastAsia="仿宋"/>
          <w:sz w:val="32"/>
          <w:szCs w:val="32"/>
        </w:rPr>
        <w:t>企业退休人员基本医疗保险不再缴纳、新型职业农民培训未进行</w:t>
      </w:r>
      <w:r>
        <w:rPr>
          <w:rFonts w:ascii="仿宋" w:hAnsi="仿宋" w:eastAsia="仿宋"/>
          <w:sz w:val="32"/>
          <w:szCs w:val="32"/>
        </w:rPr>
        <w:t>；本年支</w:t>
      </w:r>
      <w:r>
        <w:rPr>
          <w:rFonts w:hint="eastAsia" w:ascii="仿宋" w:hAnsi="仿宋" w:eastAsia="仿宋"/>
          <w:sz w:val="32"/>
          <w:szCs w:val="32"/>
        </w:rPr>
        <w:t>出</w:t>
      </w:r>
      <w:r>
        <w:rPr>
          <w:rFonts w:ascii="仿宋" w:hAnsi="仿宋" w:eastAsia="仿宋"/>
          <w:sz w:val="32"/>
          <w:szCs w:val="32"/>
        </w:rPr>
        <w:t>减少</w:t>
      </w:r>
      <w:r>
        <w:rPr>
          <w:rFonts w:hint="eastAsia" w:ascii="仿宋" w:hAnsi="仿宋" w:eastAsia="仿宋"/>
          <w:sz w:val="32"/>
          <w:szCs w:val="32"/>
        </w:rPr>
        <w:t>161.25</w:t>
      </w:r>
      <w:r>
        <w:rPr>
          <w:rFonts w:ascii="仿宋" w:hAnsi="仿宋" w:eastAsia="仿宋"/>
          <w:sz w:val="32"/>
          <w:szCs w:val="32"/>
        </w:rPr>
        <w:t>万元，降低</w:t>
      </w:r>
      <w:r>
        <w:rPr>
          <w:rFonts w:hint="eastAsia" w:ascii="仿宋" w:hAnsi="仿宋" w:eastAsia="仿宋"/>
          <w:sz w:val="32"/>
          <w:szCs w:val="32"/>
        </w:rPr>
        <w:t>24</w:t>
      </w:r>
      <w:r>
        <w:rPr>
          <w:rFonts w:ascii="仿宋" w:hAnsi="仿宋" w:eastAsia="仿宋"/>
          <w:sz w:val="32"/>
          <w:szCs w:val="32"/>
        </w:rPr>
        <w:t>%，主要原因是</w:t>
      </w:r>
      <w:r>
        <w:rPr>
          <w:rFonts w:hint="eastAsia" w:ascii="仿宋" w:hAnsi="仿宋" w:eastAsia="仿宋"/>
          <w:sz w:val="32"/>
          <w:szCs w:val="32"/>
        </w:rPr>
        <w:t>企业退休人员基本医疗保险不再缴纳、新型职业农民培训未进行</w:t>
      </w:r>
      <w:r>
        <w:rPr>
          <w:rFonts w:ascii="仿宋" w:hAnsi="仿宋" w:eastAsia="仿宋"/>
          <w:sz w:val="32"/>
          <w:szCs w:val="32"/>
        </w:rPr>
        <w:t>。</w:t>
      </w:r>
    </w:p>
    <w:p>
      <w:pPr>
        <w:pStyle w:val="3"/>
        <w:spacing w:before="0" w:after="0" w:line="584" w:lineRule="exact"/>
        <w:ind w:firstLine="640" w:firstLineChars="200"/>
        <w:rPr>
          <w:rFonts w:ascii="仿宋" w:hAnsi="仿宋" w:eastAsia="仿宋"/>
          <w:b w:val="0"/>
        </w:rPr>
      </w:pPr>
      <w:r>
        <w:rPr>
          <w:rFonts w:ascii="Times New Roman" w:hAnsi="Times New Roman" w:eastAsia="黑体"/>
          <w:b w:val="0"/>
        </w:rPr>
        <w:t>五、一般公共预算财政拨款“三公” 经费支出决算情况说明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本部门2017年度一般公共预算财政拨款“三公”经费支出共计</w:t>
      </w:r>
      <w:r>
        <w:rPr>
          <w:rFonts w:hint="eastAsia" w:ascii="仿宋" w:hAnsi="仿宋" w:eastAsia="仿宋"/>
          <w:sz w:val="32"/>
          <w:szCs w:val="32"/>
        </w:rPr>
        <w:t>5.69</w:t>
      </w:r>
      <w:r>
        <w:rPr>
          <w:rFonts w:ascii="仿宋" w:hAnsi="仿宋" w:eastAsia="仿宋"/>
          <w:sz w:val="32"/>
          <w:szCs w:val="32"/>
        </w:rPr>
        <w:t>万元，较年初预算增加</w:t>
      </w:r>
      <w:r>
        <w:rPr>
          <w:rFonts w:hint="eastAsia" w:ascii="仿宋" w:hAnsi="仿宋" w:eastAsia="仿宋"/>
          <w:sz w:val="32"/>
          <w:szCs w:val="32"/>
        </w:rPr>
        <w:t>0.66</w:t>
      </w:r>
      <w:r>
        <w:rPr>
          <w:rFonts w:ascii="仿宋" w:hAnsi="仿宋" w:eastAsia="仿宋"/>
          <w:sz w:val="32"/>
          <w:szCs w:val="32"/>
        </w:rPr>
        <w:t>万元，增长</w:t>
      </w:r>
      <w:r>
        <w:rPr>
          <w:rFonts w:hint="eastAsia" w:ascii="仿宋" w:hAnsi="仿宋" w:eastAsia="仿宋"/>
          <w:sz w:val="32"/>
          <w:szCs w:val="32"/>
        </w:rPr>
        <w:t>13</w:t>
      </w:r>
      <w:r>
        <w:rPr>
          <w:rFonts w:ascii="仿宋" w:hAnsi="仿宋" w:eastAsia="仿宋"/>
          <w:sz w:val="32"/>
          <w:szCs w:val="32"/>
        </w:rPr>
        <w:t>%，主要原因是</w:t>
      </w:r>
      <w:r>
        <w:rPr>
          <w:rFonts w:hint="eastAsia" w:ascii="仿宋" w:hAnsi="仿宋" w:eastAsia="仿宋"/>
          <w:sz w:val="32"/>
          <w:szCs w:val="32"/>
        </w:rPr>
        <w:t>公务用车及运行维护费增加</w:t>
      </w:r>
      <w:r>
        <w:rPr>
          <w:rFonts w:ascii="仿宋" w:hAnsi="仿宋" w:eastAsia="仿宋"/>
          <w:sz w:val="32"/>
          <w:szCs w:val="32"/>
        </w:rPr>
        <w:t>；较2016年度决算增加</w:t>
      </w:r>
      <w:r>
        <w:rPr>
          <w:rFonts w:hint="eastAsia" w:ascii="仿宋" w:hAnsi="仿宋" w:eastAsia="仿宋"/>
          <w:sz w:val="32"/>
          <w:szCs w:val="32"/>
        </w:rPr>
        <w:t>0.66</w:t>
      </w:r>
      <w:r>
        <w:rPr>
          <w:rFonts w:ascii="仿宋" w:hAnsi="仿宋" w:eastAsia="仿宋"/>
          <w:sz w:val="32"/>
          <w:szCs w:val="32"/>
        </w:rPr>
        <w:t>万元，增长</w:t>
      </w:r>
      <w:r>
        <w:rPr>
          <w:rFonts w:hint="eastAsia" w:ascii="仿宋" w:hAnsi="仿宋" w:eastAsia="仿宋"/>
          <w:sz w:val="32"/>
          <w:szCs w:val="32"/>
        </w:rPr>
        <w:t>13</w:t>
      </w:r>
      <w:r>
        <w:rPr>
          <w:rFonts w:ascii="仿宋" w:hAnsi="仿宋" w:eastAsia="仿宋"/>
          <w:sz w:val="32"/>
          <w:szCs w:val="32"/>
        </w:rPr>
        <w:t>%，主要原因是</w:t>
      </w:r>
      <w:r>
        <w:rPr>
          <w:rFonts w:hint="eastAsia" w:ascii="仿宋" w:hAnsi="仿宋" w:eastAsia="仿宋"/>
          <w:sz w:val="32"/>
          <w:szCs w:val="32"/>
        </w:rPr>
        <w:t>公务用车及运行维护费增加</w:t>
      </w:r>
      <w:r>
        <w:rPr>
          <w:rFonts w:ascii="仿宋" w:hAnsi="仿宋" w:eastAsia="仿宋"/>
          <w:sz w:val="32"/>
          <w:szCs w:val="32"/>
        </w:rPr>
        <w:t>。具体情况如下：</w:t>
      </w:r>
    </w:p>
    <w:p>
      <w:pPr>
        <w:pStyle w:val="14"/>
        <w:numPr>
          <w:ilvl w:val="0"/>
          <w:numId w:val="1"/>
        </w:numPr>
        <w:spacing w:line="584" w:lineRule="exact"/>
        <w:ind w:firstLineChars="0"/>
        <w:rPr>
          <w:rFonts w:ascii="楷体" w:hAnsi="楷体" w:eastAsia="楷体"/>
          <w:b/>
          <w:bCs/>
          <w:sz w:val="32"/>
          <w:szCs w:val="32"/>
        </w:rPr>
      </w:pPr>
      <w:r>
        <w:rPr>
          <w:rFonts w:ascii="楷体" w:hAnsi="楷体" w:eastAsia="楷体"/>
          <w:b/>
          <w:bCs/>
          <w:sz w:val="32"/>
          <w:szCs w:val="32"/>
        </w:rPr>
        <w:t>因公出国（境）费支出</w:t>
      </w:r>
      <w:r>
        <w:rPr>
          <w:rFonts w:hint="eastAsia" w:ascii="楷体" w:hAnsi="楷体" w:eastAsia="楷体"/>
          <w:b/>
          <w:bCs/>
          <w:sz w:val="32"/>
          <w:szCs w:val="32"/>
        </w:rPr>
        <w:t>0</w:t>
      </w:r>
      <w:r>
        <w:rPr>
          <w:rFonts w:ascii="楷体" w:hAnsi="楷体" w:eastAsia="楷体"/>
          <w:b/>
          <w:bCs/>
          <w:sz w:val="32"/>
          <w:szCs w:val="32"/>
        </w:rPr>
        <w:t>万元。</w:t>
      </w:r>
    </w:p>
    <w:p>
      <w:pPr>
        <w:spacing w:line="584" w:lineRule="exact"/>
        <w:ind w:firstLine="640" w:firstLineChars="200"/>
        <w:rPr>
          <w:rFonts w:ascii="楷体" w:hAnsi="楷体" w:eastAsia="楷体"/>
          <w:b/>
          <w:bCs/>
          <w:sz w:val="32"/>
          <w:szCs w:val="32"/>
        </w:rPr>
      </w:pPr>
      <w:r>
        <w:rPr>
          <w:rFonts w:ascii="仿宋" w:hAnsi="仿宋" w:eastAsia="仿宋"/>
          <w:sz w:val="32"/>
          <w:szCs w:val="32"/>
        </w:rPr>
        <w:t>本部门</w:t>
      </w:r>
      <w:r>
        <w:rPr>
          <w:rFonts w:hint="eastAsia" w:ascii="仿宋" w:hAnsi="仿宋" w:eastAsia="仿宋"/>
          <w:sz w:val="32"/>
          <w:szCs w:val="32"/>
        </w:rPr>
        <w:t>2017年度未发生</w:t>
      </w:r>
      <w:r>
        <w:rPr>
          <w:rFonts w:hint="eastAsia" w:ascii="仿宋" w:hAnsi="仿宋" w:eastAsia="仿宋"/>
          <w:color w:val="000000"/>
          <w:sz w:val="32"/>
          <w:szCs w:val="32"/>
        </w:rPr>
        <w:t>因公出国（境）</w:t>
      </w:r>
      <w:r>
        <w:rPr>
          <w:rFonts w:ascii="仿宋" w:hAnsi="仿宋" w:eastAsia="仿宋"/>
          <w:color w:val="000000"/>
          <w:sz w:val="32"/>
          <w:szCs w:val="32"/>
        </w:rPr>
        <w:t>经费支出</w:t>
      </w:r>
      <w:r>
        <w:rPr>
          <w:rFonts w:hint="eastAsia" w:ascii="仿宋" w:hAnsi="仿宋" w:eastAsia="仿宋"/>
          <w:color w:val="000000"/>
          <w:sz w:val="32"/>
          <w:szCs w:val="32"/>
        </w:rPr>
        <w:t>，</w:t>
      </w:r>
      <w:r>
        <w:rPr>
          <w:rFonts w:ascii="仿宋" w:hAnsi="仿宋" w:eastAsia="仿宋"/>
          <w:color w:val="000000"/>
          <w:sz w:val="32"/>
          <w:szCs w:val="32"/>
        </w:rPr>
        <w:t>较年初预算无增减变化、较2016年度决算无增减变化</w:t>
      </w:r>
      <w:r>
        <w:rPr>
          <w:rFonts w:hint="eastAsia" w:ascii="仿宋" w:hAnsi="仿宋" w:eastAsia="仿宋"/>
          <w:sz w:val="32"/>
          <w:szCs w:val="32"/>
        </w:rPr>
        <w:t>。</w:t>
      </w:r>
    </w:p>
    <w:p>
      <w:pPr>
        <w:spacing w:line="584" w:lineRule="exact"/>
        <w:ind w:firstLine="643" w:firstLineChars="200"/>
        <w:rPr>
          <w:rFonts w:ascii="楷体" w:hAnsi="楷体" w:eastAsia="楷体"/>
          <w:b/>
          <w:bCs/>
          <w:sz w:val="32"/>
          <w:szCs w:val="32"/>
        </w:rPr>
      </w:pPr>
      <w:r>
        <w:rPr>
          <w:rFonts w:ascii="楷体" w:hAnsi="楷体" w:eastAsia="楷体"/>
          <w:b/>
          <w:bCs/>
          <w:sz w:val="32"/>
          <w:szCs w:val="32"/>
        </w:rPr>
        <w:t>（二）公务用车购置及运行维护费支出</w:t>
      </w:r>
      <w:r>
        <w:rPr>
          <w:rFonts w:hint="eastAsia" w:ascii="楷体" w:hAnsi="楷体" w:eastAsia="楷体"/>
          <w:b/>
          <w:bCs/>
          <w:sz w:val="32"/>
          <w:szCs w:val="32"/>
        </w:rPr>
        <w:t>5.69</w:t>
      </w:r>
      <w:r>
        <w:rPr>
          <w:rFonts w:ascii="楷体" w:hAnsi="楷体" w:eastAsia="楷体"/>
          <w:b/>
          <w:bCs/>
          <w:sz w:val="32"/>
          <w:szCs w:val="32"/>
        </w:rPr>
        <w:t>万元。其中：</w:t>
      </w:r>
    </w:p>
    <w:p>
      <w:pPr>
        <w:spacing w:line="584" w:lineRule="exact"/>
        <w:ind w:firstLine="643" w:firstLineChars="200"/>
        <w:rPr>
          <w:rFonts w:ascii="仿宋" w:hAnsi="仿宋" w:eastAsia="仿宋"/>
          <w:sz w:val="32"/>
          <w:szCs w:val="32"/>
        </w:rPr>
      </w:pPr>
      <w:r>
        <w:rPr>
          <w:rFonts w:ascii="仿宋" w:hAnsi="仿宋" w:eastAsia="仿宋"/>
          <w:b/>
          <w:sz w:val="32"/>
          <w:szCs w:val="32"/>
        </w:rPr>
        <w:t>公务用车购置费支出</w:t>
      </w:r>
      <w:r>
        <w:rPr>
          <w:rFonts w:hint="eastAsia" w:ascii="仿宋" w:hAnsi="仿宋" w:eastAsia="仿宋"/>
          <w:b/>
          <w:sz w:val="32"/>
          <w:szCs w:val="32"/>
        </w:rPr>
        <w:t>0</w:t>
      </w:r>
      <w:r>
        <w:rPr>
          <w:rFonts w:ascii="仿宋" w:hAnsi="仿宋" w:eastAsia="仿宋"/>
          <w:b/>
          <w:sz w:val="32"/>
          <w:szCs w:val="32"/>
        </w:rPr>
        <w:t>万元。</w:t>
      </w:r>
      <w:r>
        <w:rPr>
          <w:rFonts w:ascii="仿宋" w:hAnsi="仿宋" w:eastAsia="仿宋"/>
          <w:sz w:val="32"/>
          <w:szCs w:val="32"/>
        </w:rPr>
        <w:t>本部门</w:t>
      </w:r>
      <w:r>
        <w:rPr>
          <w:rFonts w:hint="eastAsia" w:ascii="仿宋" w:hAnsi="仿宋" w:eastAsia="仿宋"/>
          <w:sz w:val="32"/>
          <w:szCs w:val="32"/>
        </w:rPr>
        <w:t>2017年度未发生</w:t>
      </w:r>
      <w:r>
        <w:rPr>
          <w:rFonts w:ascii="仿宋" w:hAnsi="仿宋" w:eastAsia="仿宋"/>
          <w:color w:val="000000"/>
          <w:sz w:val="32"/>
          <w:szCs w:val="32"/>
        </w:rPr>
        <w:t>公务用车购置经费支出</w:t>
      </w:r>
      <w:r>
        <w:rPr>
          <w:rFonts w:hint="eastAsia" w:ascii="仿宋" w:hAnsi="仿宋" w:eastAsia="仿宋"/>
          <w:color w:val="000000"/>
          <w:sz w:val="32"/>
          <w:szCs w:val="32"/>
        </w:rPr>
        <w:t>，</w:t>
      </w:r>
      <w:r>
        <w:rPr>
          <w:rFonts w:ascii="仿宋" w:hAnsi="仿宋" w:eastAsia="仿宋"/>
          <w:color w:val="000000"/>
          <w:sz w:val="32"/>
          <w:szCs w:val="32"/>
        </w:rPr>
        <w:t>较年初预算无增减变化、较2016年度决算无增减变化</w:t>
      </w:r>
      <w:r>
        <w:rPr>
          <w:rFonts w:hint="eastAsia" w:ascii="仿宋" w:hAnsi="仿宋" w:eastAsia="仿宋"/>
          <w:sz w:val="32"/>
          <w:szCs w:val="32"/>
        </w:rPr>
        <w:t>。</w:t>
      </w:r>
    </w:p>
    <w:p>
      <w:pPr>
        <w:spacing w:line="584" w:lineRule="exact"/>
        <w:ind w:firstLine="643" w:firstLineChars="200"/>
        <w:rPr>
          <w:rFonts w:ascii="仿宋" w:hAnsi="仿宋" w:eastAsia="仿宋"/>
          <w:sz w:val="32"/>
          <w:szCs w:val="32"/>
        </w:rPr>
      </w:pPr>
      <w:r>
        <w:rPr>
          <w:rFonts w:ascii="仿宋" w:hAnsi="仿宋" w:eastAsia="仿宋"/>
          <w:b/>
          <w:sz w:val="32"/>
          <w:szCs w:val="32"/>
        </w:rPr>
        <w:t>公务用车运行维护费支出</w:t>
      </w:r>
      <w:r>
        <w:rPr>
          <w:rFonts w:hint="eastAsia" w:ascii="仿宋" w:hAnsi="仿宋" w:eastAsia="仿宋"/>
          <w:b/>
          <w:sz w:val="32"/>
          <w:szCs w:val="32"/>
        </w:rPr>
        <w:t>5.69</w:t>
      </w:r>
      <w:r>
        <w:rPr>
          <w:rFonts w:ascii="仿宋" w:hAnsi="仿宋" w:eastAsia="仿宋"/>
          <w:b/>
          <w:sz w:val="32"/>
          <w:szCs w:val="32"/>
        </w:rPr>
        <w:t>万元。</w:t>
      </w:r>
      <w:r>
        <w:rPr>
          <w:rFonts w:ascii="仿宋" w:hAnsi="仿宋" w:eastAsia="仿宋"/>
          <w:sz w:val="32"/>
          <w:szCs w:val="32"/>
        </w:rPr>
        <w:t>本部门2017年末单位公务用车保有量</w:t>
      </w:r>
      <w:r>
        <w:rPr>
          <w:rFonts w:hint="eastAsia" w:ascii="仿宋" w:hAnsi="仿宋" w:eastAsia="仿宋"/>
          <w:sz w:val="32"/>
          <w:szCs w:val="32"/>
        </w:rPr>
        <w:t>1</w:t>
      </w:r>
      <w:r>
        <w:rPr>
          <w:rFonts w:ascii="仿宋" w:hAnsi="仿宋" w:eastAsia="仿宋"/>
          <w:sz w:val="32"/>
          <w:szCs w:val="32"/>
        </w:rPr>
        <w:t>辆。公车运行维护费支出较年初预算增加</w:t>
      </w:r>
      <w:r>
        <w:rPr>
          <w:rFonts w:hint="eastAsia" w:ascii="仿宋" w:hAnsi="仿宋" w:eastAsia="仿宋"/>
          <w:sz w:val="32"/>
          <w:szCs w:val="32"/>
        </w:rPr>
        <w:t>0.66</w:t>
      </w:r>
      <w:r>
        <w:rPr>
          <w:rFonts w:ascii="仿宋" w:hAnsi="仿宋" w:eastAsia="仿宋"/>
          <w:sz w:val="32"/>
          <w:szCs w:val="32"/>
        </w:rPr>
        <w:t>万元，增长</w:t>
      </w:r>
      <w:r>
        <w:rPr>
          <w:rFonts w:hint="eastAsia" w:ascii="仿宋" w:hAnsi="仿宋" w:eastAsia="仿宋"/>
          <w:sz w:val="32"/>
          <w:szCs w:val="32"/>
        </w:rPr>
        <w:t>13</w:t>
      </w:r>
      <w:r>
        <w:rPr>
          <w:rFonts w:ascii="仿宋" w:hAnsi="仿宋" w:eastAsia="仿宋"/>
          <w:sz w:val="32"/>
          <w:szCs w:val="32"/>
        </w:rPr>
        <w:t>%，主要原因是</w:t>
      </w:r>
      <w:r>
        <w:rPr>
          <w:rFonts w:hint="eastAsia" w:ascii="仿宋" w:hAnsi="仿宋" w:eastAsia="仿宋"/>
          <w:sz w:val="32"/>
          <w:szCs w:val="32"/>
        </w:rPr>
        <w:t>政府调拨车辆车况欠佳多次维修</w:t>
      </w:r>
      <w:r>
        <w:rPr>
          <w:rFonts w:ascii="仿宋" w:hAnsi="仿宋" w:eastAsia="仿宋"/>
          <w:sz w:val="32"/>
          <w:szCs w:val="32"/>
        </w:rPr>
        <w:t>；较2016年度决算增加</w:t>
      </w:r>
      <w:r>
        <w:rPr>
          <w:rFonts w:hint="eastAsia" w:ascii="仿宋" w:hAnsi="仿宋" w:eastAsia="仿宋"/>
          <w:sz w:val="32"/>
          <w:szCs w:val="32"/>
        </w:rPr>
        <w:t>0.66</w:t>
      </w:r>
      <w:r>
        <w:rPr>
          <w:rFonts w:ascii="仿宋" w:hAnsi="仿宋" w:eastAsia="仿宋"/>
          <w:sz w:val="32"/>
          <w:szCs w:val="32"/>
        </w:rPr>
        <w:t>万元，增长</w:t>
      </w:r>
      <w:r>
        <w:rPr>
          <w:rFonts w:hint="eastAsia" w:ascii="仿宋" w:hAnsi="仿宋" w:eastAsia="仿宋"/>
          <w:sz w:val="32"/>
          <w:szCs w:val="32"/>
        </w:rPr>
        <w:t>13</w:t>
      </w:r>
      <w:r>
        <w:rPr>
          <w:rFonts w:ascii="仿宋" w:hAnsi="仿宋" w:eastAsia="仿宋"/>
          <w:sz w:val="32"/>
          <w:szCs w:val="32"/>
        </w:rPr>
        <w:t>%，主要原因是</w:t>
      </w:r>
      <w:r>
        <w:rPr>
          <w:rFonts w:hint="eastAsia" w:ascii="仿宋" w:hAnsi="仿宋" w:eastAsia="仿宋"/>
          <w:sz w:val="32"/>
          <w:szCs w:val="32"/>
        </w:rPr>
        <w:t>政府调拨车辆车况欠佳多次维修</w:t>
      </w:r>
      <w:r>
        <w:rPr>
          <w:rFonts w:ascii="仿宋" w:hAnsi="仿宋" w:eastAsia="仿宋"/>
          <w:sz w:val="32"/>
          <w:szCs w:val="32"/>
        </w:rPr>
        <w:t>。</w:t>
      </w:r>
    </w:p>
    <w:p>
      <w:pPr>
        <w:pStyle w:val="14"/>
        <w:numPr>
          <w:ilvl w:val="0"/>
          <w:numId w:val="1"/>
        </w:numPr>
        <w:spacing w:line="584" w:lineRule="exact"/>
        <w:ind w:firstLineChars="0"/>
        <w:rPr>
          <w:rFonts w:ascii="楷体" w:hAnsi="楷体" w:eastAsia="楷体"/>
          <w:b/>
          <w:bCs/>
          <w:sz w:val="32"/>
          <w:szCs w:val="32"/>
        </w:rPr>
      </w:pPr>
      <w:r>
        <w:rPr>
          <w:rFonts w:ascii="楷体" w:hAnsi="楷体" w:eastAsia="楷体"/>
          <w:b/>
          <w:bCs/>
          <w:sz w:val="32"/>
          <w:szCs w:val="32"/>
        </w:rPr>
        <w:t>公务接待费支出</w:t>
      </w:r>
      <w:r>
        <w:rPr>
          <w:rFonts w:hint="eastAsia" w:ascii="楷体" w:hAnsi="楷体" w:eastAsia="楷体"/>
          <w:b/>
          <w:bCs/>
          <w:sz w:val="32"/>
          <w:szCs w:val="32"/>
        </w:rPr>
        <w:t>0</w:t>
      </w:r>
      <w:r>
        <w:rPr>
          <w:rFonts w:ascii="楷体" w:hAnsi="楷体" w:eastAsia="楷体"/>
          <w:b/>
          <w:bCs/>
          <w:sz w:val="32"/>
          <w:szCs w:val="32"/>
        </w:rPr>
        <w:t>万元。</w:t>
      </w:r>
    </w:p>
    <w:p>
      <w:pPr>
        <w:spacing w:line="584" w:lineRule="exact"/>
        <w:ind w:firstLine="640" w:firstLineChars="200"/>
        <w:rPr>
          <w:rFonts w:ascii="楷体" w:hAnsi="楷体" w:eastAsia="楷体"/>
          <w:b/>
          <w:bCs/>
          <w:sz w:val="32"/>
          <w:szCs w:val="32"/>
        </w:rPr>
      </w:pPr>
      <w:r>
        <w:rPr>
          <w:rFonts w:ascii="仿宋" w:hAnsi="仿宋" w:eastAsia="仿宋"/>
          <w:sz w:val="32"/>
          <w:szCs w:val="32"/>
        </w:rPr>
        <w:t>本部门</w:t>
      </w:r>
      <w:r>
        <w:rPr>
          <w:rFonts w:hint="eastAsia" w:ascii="仿宋" w:hAnsi="仿宋" w:eastAsia="仿宋"/>
          <w:sz w:val="32"/>
          <w:szCs w:val="32"/>
        </w:rPr>
        <w:t>2017年度未发生公务接待</w:t>
      </w:r>
      <w:r>
        <w:rPr>
          <w:rFonts w:ascii="仿宋" w:hAnsi="仿宋" w:eastAsia="仿宋"/>
          <w:color w:val="000000"/>
          <w:sz w:val="32"/>
          <w:szCs w:val="32"/>
        </w:rPr>
        <w:t>经费支出</w:t>
      </w:r>
      <w:r>
        <w:rPr>
          <w:rFonts w:hint="eastAsia" w:ascii="仿宋" w:hAnsi="仿宋" w:eastAsia="仿宋"/>
          <w:color w:val="000000"/>
          <w:sz w:val="32"/>
          <w:szCs w:val="32"/>
        </w:rPr>
        <w:t>，</w:t>
      </w:r>
      <w:r>
        <w:rPr>
          <w:rFonts w:ascii="仿宋" w:hAnsi="仿宋" w:eastAsia="仿宋"/>
          <w:color w:val="000000"/>
          <w:sz w:val="32"/>
          <w:szCs w:val="32"/>
        </w:rPr>
        <w:t>较年初预算无增减变化、较2016年度决算无增减变化</w:t>
      </w:r>
      <w:r>
        <w:rPr>
          <w:rFonts w:hint="eastAsia" w:ascii="仿宋" w:hAnsi="仿宋" w:eastAsia="仿宋"/>
          <w:sz w:val="32"/>
          <w:szCs w:val="32"/>
        </w:rPr>
        <w:t>。</w:t>
      </w:r>
    </w:p>
    <w:p>
      <w:pPr>
        <w:pStyle w:val="3"/>
        <w:spacing w:before="0" w:after="0" w:line="584" w:lineRule="exact"/>
        <w:ind w:firstLine="640" w:firstLineChars="200"/>
        <w:rPr>
          <w:rFonts w:ascii="Times New Roman" w:hAnsi="Times New Roman" w:eastAsia="黑体"/>
          <w:b w:val="0"/>
          <w:color w:val="000000" w:themeColor="text1"/>
        </w:rPr>
      </w:pPr>
      <w:r>
        <w:rPr>
          <w:rFonts w:ascii="Times New Roman" w:hAnsi="Times New Roman" w:eastAsia="黑体"/>
          <w:b w:val="0"/>
          <w:color w:val="000000" w:themeColor="text1"/>
        </w:rPr>
        <w:t>六、绩效预算</w:t>
      </w:r>
      <w:r>
        <w:rPr>
          <w:rFonts w:ascii="Times New Roman" w:hAnsi="Times New Roman" w:eastAsia="黑体"/>
          <w:b w:val="0"/>
          <w:color w:val="000000" w:themeColor="text1"/>
          <w:kern w:val="0"/>
        </w:rPr>
        <w:t>管理</w:t>
      </w:r>
      <w:r>
        <w:rPr>
          <w:rFonts w:ascii="Times New Roman" w:hAnsi="Times New Roman" w:eastAsia="黑体"/>
          <w:b w:val="0"/>
          <w:color w:val="000000" w:themeColor="text1"/>
        </w:rPr>
        <w:t>工作开展情况说明</w:t>
      </w:r>
    </w:p>
    <w:p>
      <w:pPr>
        <w:spacing w:line="584" w:lineRule="exact"/>
        <w:ind w:firstLine="643" w:firstLineChars="200"/>
        <w:rPr>
          <w:rFonts w:hint="eastAsia" w:ascii="楷体" w:hAnsi="楷体" w:eastAsia="楷体"/>
          <w:b/>
          <w:color w:val="000000" w:themeColor="text1"/>
          <w:sz w:val="32"/>
          <w:szCs w:val="32"/>
        </w:rPr>
      </w:pPr>
      <w:r>
        <w:rPr>
          <w:rFonts w:ascii="楷体" w:hAnsi="楷体" w:eastAsia="楷体"/>
          <w:b/>
          <w:color w:val="000000" w:themeColor="text1"/>
          <w:sz w:val="32"/>
          <w:szCs w:val="32"/>
        </w:rPr>
        <w:t>（一）绩效管理工作开展情况</w:t>
      </w:r>
    </w:p>
    <w:p>
      <w:pPr>
        <w:spacing w:line="584" w:lineRule="exact"/>
        <w:rPr>
          <w:rFonts w:ascii="仿宋" w:hAnsi="仿宋" w:eastAsia="仿宋"/>
          <w:color w:val="000000" w:themeColor="text1"/>
          <w:sz w:val="32"/>
          <w:szCs w:val="32"/>
        </w:rPr>
      </w:pPr>
      <w:r>
        <w:rPr>
          <w:rFonts w:hint="eastAsia" w:ascii="仿宋" w:hAnsi="仿宋" w:eastAsia="仿宋"/>
          <w:b/>
          <w:color w:val="000000" w:themeColor="text1"/>
          <w:sz w:val="32"/>
          <w:szCs w:val="32"/>
        </w:rPr>
        <w:t xml:space="preserve">    </w:t>
      </w:r>
      <w:r>
        <w:rPr>
          <w:rFonts w:hint="eastAsia" w:ascii="仿宋" w:hAnsi="仿宋" w:eastAsia="仿宋"/>
          <w:color w:val="000000" w:themeColor="text1"/>
          <w:sz w:val="32"/>
          <w:szCs w:val="32"/>
        </w:rPr>
        <w:t>新型职业农民培训项目的绩效总目标和阶段性目标都已按照计划完成，未逾期。所有开支均按照我单位财务管理制度执行，资金的使用严格把关；整个项目的运行完全按照我单位内部管理制度、县委县政府及财政的有关规定执行，不存在违规违法的问题。</w:t>
      </w:r>
    </w:p>
    <w:p>
      <w:pPr>
        <w:spacing w:line="584" w:lineRule="exact"/>
        <w:ind w:firstLine="643" w:firstLineChars="200"/>
        <w:rPr>
          <w:rFonts w:hint="eastAsia" w:ascii="楷体" w:hAnsi="楷体" w:eastAsia="楷体"/>
          <w:b/>
          <w:color w:val="000000" w:themeColor="text1"/>
          <w:sz w:val="32"/>
          <w:szCs w:val="32"/>
        </w:rPr>
      </w:pPr>
      <w:r>
        <w:rPr>
          <w:rFonts w:ascii="楷体" w:hAnsi="楷体" w:eastAsia="楷体"/>
          <w:b/>
          <w:color w:val="000000" w:themeColor="text1"/>
          <w:sz w:val="32"/>
          <w:szCs w:val="32"/>
        </w:rPr>
        <w:t>（二）预算项目绩效评价开展情况</w:t>
      </w:r>
    </w:p>
    <w:p>
      <w:pPr>
        <w:spacing w:line="584"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我部门加大供销社综合改革力度，确保完成省、市社下达的各项工作任务指标，年度绩效目标为2017年，开展新型职业农民培训20期，培训2000人次。年度绩效目标到2017年度，培训人数达到70%以上。我单位申报的综合改革专项2017年初计划实施，并于2017年底前完成年度绩效目标。</w:t>
      </w:r>
    </w:p>
    <w:p>
      <w:pPr>
        <w:spacing w:line="584" w:lineRule="exact"/>
        <w:ind w:firstLine="643" w:firstLineChars="200"/>
        <w:rPr>
          <w:rFonts w:ascii="楷体" w:hAnsi="楷体" w:eastAsia="楷体"/>
          <w:b/>
          <w:color w:val="000000" w:themeColor="text1"/>
          <w:sz w:val="32"/>
          <w:szCs w:val="32"/>
        </w:rPr>
      </w:pPr>
      <w:r>
        <w:rPr>
          <w:rFonts w:ascii="楷体" w:hAnsi="楷体" w:eastAsia="楷体"/>
          <w:b/>
          <w:color w:val="000000" w:themeColor="text1"/>
          <w:sz w:val="32"/>
          <w:szCs w:val="32"/>
        </w:rPr>
        <w:t>（三）预算项目绩效自评选例</w:t>
      </w:r>
    </w:p>
    <w:p>
      <w:pPr>
        <w:pStyle w:val="3"/>
        <w:spacing w:before="0" w:after="0" w:line="584" w:lineRule="exact"/>
        <w:ind w:firstLine="640" w:firstLineChars="200"/>
        <w:rPr>
          <w:rFonts w:hint="eastAsia" w:ascii="仿宋" w:hAnsi="仿宋" w:eastAsia="仿宋"/>
          <w:b w:val="0"/>
        </w:rPr>
      </w:pPr>
      <w:r>
        <w:rPr>
          <w:rFonts w:hint="eastAsia" w:ascii="仿宋" w:hAnsi="仿宋" w:eastAsia="仿宋"/>
          <w:b w:val="0"/>
        </w:rPr>
        <w:t>新型职业农民培训项目实施后实现了预定的绩效目标，项目依据充分，并且目标非常明确，预定目标设置合理，符合要求。项目按期完成培训任务，培训人员1460人，培训人数达73%以上。本项目综合考评得分为90分，评价等次确定为优。</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七、其他重要事项的说明</w:t>
      </w:r>
    </w:p>
    <w:p>
      <w:pPr>
        <w:pStyle w:val="4"/>
        <w:spacing w:before="0" w:after="0" w:line="584" w:lineRule="exact"/>
        <w:ind w:firstLine="643" w:firstLineChars="200"/>
        <w:rPr>
          <w:rFonts w:ascii="楷体" w:hAnsi="楷体" w:eastAsia="楷体"/>
        </w:rPr>
      </w:pPr>
      <w:r>
        <w:rPr>
          <w:rFonts w:ascii="楷体" w:hAnsi="楷体" w:eastAsia="楷体"/>
        </w:rPr>
        <w:t>（一）机关运行经费情况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本部门2017年度机关运行经费支出</w:t>
      </w:r>
      <w:r>
        <w:rPr>
          <w:rFonts w:hint="eastAsia" w:ascii="仿宋" w:hAnsi="仿宋" w:eastAsia="仿宋"/>
          <w:sz w:val="32"/>
          <w:szCs w:val="32"/>
          <w:lang w:val="en-US" w:eastAsia="zh-CN"/>
        </w:rPr>
        <w:t>56.13</w:t>
      </w:r>
      <w:r>
        <w:rPr>
          <w:rFonts w:ascii="仿宋" w:hAnsi="仿宋" w:eastAsia="仿宋"/>
          <w:sz w:val="32"/>
          <w:szCs w:val="32"/>
        </w:rPr>
        <w:t>万元，比2016年度增加</w:t>
      </w:r>
      <w:r>
        <w:rPr>
          <w:rFonts w:hint="eastAsia" w:ascii="仿宋" w:hAnsi="仿宋" w:eastAsia="仿宋"/>
          <w:sz w:val="32"/>
          <w:szCs w:val="32"/>
        </w:rPr>
        <w:t>1.47</w:t>
      </w:r>
      <w:r>
        <w:rPr>
          <w:rFonts w:ascii="仿宋" w:hAnsi="仿宋" w:eastAsia="仿宋"/>
          <w:sz w:val="32"/>
          <w:szCs w:val="32"/>
        </w:rPr>
        <w:t>万元，增长</w:t>
      </w:r>
      <w:r>
        <w:rPr>
          <w:rFonts w:hint="eastAsia" w:ascii="仿宋" w:hAnsi="仿宋" w:eastAsia="仿宋"/>
          <w:sz w:val="32"/>
          <w:szCs w:val="32"/>
        </w:rPr>
        <w:t>0.3</w:t>
      </w:r>
      <w:r>
        <w:rPr>
          <w:rFonts w:ascii="仿宋" w:hAnsi="仿宋" w:eastAsia="仿宋"/>
          <w:sz w:val="32"/>
          <w:szCs w:val="32"/>
        </w:rPr>
        <w:t>%。</w:t>
      </w:r>
      <w:r>
        <w:rPr>
          <w:rFonts w:ascii="仿宋" w:hAnsi="仿宋" w:eastAsia="仿宋"/>
          <w:color w:val="000000" w:themeColor="text1"/>
          <w:sz w:val="32"/>
          <w:szCs w:val="32"/>
        </w:rPr>
        <w:t>主要原因是</w:t>
      </w:r>
      <w:r>
        <w:rPr>
          <w:rFonts w:hint="eastAsia" w:ascii="仿宋" w:hAnsi="仿宋" w:eastAsia="仿宋"/>
          <w:sz w:val="32"/>
          <w:szCs w:val="32"/>
        </w:rPr>
        <w:t>政府调拨车辆车况欠佳多次维修</w:t>
      </w:r>
      <w:r>
        <w:rPr>
          <w:rFonts w:ascii="仿宋" w:hAnsi="仿宋" w:eastAsia="仿宋"/>
          <w:sz w:val="32"/>
          <w:szCs w:val="32"/>
        </w:rPr>
        <w:t>。</w:t>
      </w:r>
    </w:p>
    <w:p>
      <w:pPr>
        <w:pStyle w:val="4"/>
        <w:spacing w:before="0" w:after="0" w:line="584" w:lineRule="exact"/>
        <w:ind w:firstLine="643" w:firstLineChars="200"/>
        <w:rPr>
          <w:rFonts w:ascii="楷体" w:hAnsi="楷体" w:eastAsia="楷体"/>
        </w:rPr>
      </w:pPr>
      <w:r>
        <w:rPr>
          <w:rFonts w:ascii="楷体" w:hAnsi="楷体" w:eastAsia="楷体"/>
        </w:rPr>
        <w:t>（二）政府采购情况</w:t>
      </w:r>
    </w:p>
    <w:p>
      <w:pPr>
        <w:spacing w:line="584" w:lineRule="exact"/>
        <w:ind w:firstLine="640" w:firstLineChars="200"/>
        <w:rPr>
          <w:rFonts w:ascii="仿宋" w:hAnsi="仿宋" w:eastAsia="仿宋"/>
          <w:sz w:val="32"/>
          <w:szCs w:val="32"/>
        </w:rPr>
      </w:pPr>
      <w:r>
        <w:rPr>
          <w:rFonts w:hint="eastAsia" w:ascii="仿宋_GB2312" w:hAnsi="仿宋" w:eastAsia="仿宋_GB2312" w:cs="仿宋_GB2312"/>
          <w:color w:val="000000"/>
          <w:sz w:val="32"/>
          <w:szCs w:val="32"/>
        </w:rPr>
        <w:t>本部门2017年度无政府采购。</w:t>
      </w:r>
      <w:bookmarkStart w:id="0" w:name="_GoBack"/>
      <w:bookmarkEnd w:id="0"/>
    </w:p>
    <w:p>
      <w:pPr>
        <w:pStyle w:val="4"/>
        <w:spacing w:before="0" w:after="0" w:line="584" w:lineRule="exact"/>
        <w:ind w:firstLine="643" w:firstLineChars="200"/>
        <w:rPr>
          <w:rFonts w:ascii="楷体" w:hAnsi="楷体" w:eastAsia="楷体"/>
        </w:rPr>
      </w:pPr>
      <w:r>
        <w:rPr>
          <w:rFonts w:ascii="楷体" w:hAnsi="楷体" w:eastAsia="楷体"/>
        </w:rPr>
        <w:t>（三）国有资产占用情况</w:t>
      </w:r>
    </w:p>
    <w:p>
      <w:pPr>
        <w:spacing w:line="584" w:lineRule="exact"/>
        <w:ind w:firstLine="640" w:firstLineChars="200"/>
        <w:rPr>
          <w:rFonts w:ascii="仿宋" w:hAnsi="仿宋" w:eastAsia="仿宋"/>
          <w:sz w:val="32"/>
          <w:szCs w:val="32"/>
        </w:rPr>
      </w:pPr>
      <w:r>
        <w:rPr>
          <w:rFonts w:ascii="仿宋" w:hAnsi="仿宋" w:eastAsia="仿宋"/>
          <w:sz w:val="32"/>
          <w:szCs w:val="32"/>
        </w:rPr>
        <w:t>截至2017年12月31日，本部门共有车辆</w:t>
      </w:r>
      <w:r>
        <w:rPr>
          <w:rFonts w:hint="eastAsia" w:ascii="仿宋" w:hAnsi="仿宋" w:eastAsia="仿宋"/>
          <w:sz w:val="32"/>
          <w:szCs w:val="32"/>
        </w:rPr>
        <w:t>1</w:t>
      </w:r>
      <w:r>
        <w:rPr>
          <w:rFonts w:ascii="仿宋" w:hAnsi="仿宋" w:eastAsia="仿宋"/>
          <w:sz w:val="32"/>
          <w:szCs w:val="32"/>
        </w:rPr>
        <w:t>辆，其中，一般公务用车</w:t>
      </w:r>
      <w:r>
        <w:rPr>
          <w:rFonts w:hint="eastAsia" w:ascii="仿宋" w:hAnsi="仿宋" w:eastAsia="仿宋"/>
          <w:sz w:val="32"/>
          <w:szCs w:val="32"/>
        </w:rPr>
        <w:t>1</w:t>
      </w:r>
      <w:r>
        <w:rPr>
          <w:rFonts w:ascii="仿宋" w:hAnsi="仿宋" w:eastAsia="仿宋"/>
          <w:sz w:val="32"/>
          <w:szCs w:val="32"/>
        </w:rPr>
        <w:t>辆。</w:t>
      </w:r>
    </w:p>
    <w:p>
      <w:pPr>
        <w:pStyle w:val="4"/>
        <w:spacing w:before="0" w:after="0" w:line="584" w:lineRule="exact"/>
        <w:ind w:firstLine="643" w:firstLineChars="200"/>
        <w:rPr>
          <w:rFonts w:ascii="楷体" w:hAnsi="楷体" w:eastAsia="楷体"/>
        </w:rPr>
      </w:pPr>
      <w:r>
        <w:rPr>
          <w:rFonts w:ascii="楷体" w:hAnsi="楷体" w:eastAsia="楷体"/>
        </w:rPr>
        <w:t>（四）其他需要说明的情况</w:t>
      </w:r>
    </w:p>
    <w:p>
      <w:pPr>
        <w:spacing w:line="584" w:lineRule="exact"/>
        <w:ind w:firstLine="640" w:firstLineChars="200"/>
        <w:rPr>
          <w:rFonts w:ascii="仿宋" w:hAnsi="仿宋" w:eastAsia="仿宋"/>
          <w:sz w:val="32"/>
          <w:szCs w:val="32"/>
        </w:rPr>
      </w:pPr>
      <w:r>
        <w:rPr>
          <w:rFonts w:ascii="仿宋" w:hAnsi="仿宋" w:eastAsia="仿宋"/>
          <w:sz w:val="32"/>
          <w:szCs w:val="32"/>
        </w:rPr>
        <w:t>1、本部门2017年度</w:t>
      </w:r>
      <w:r>
        <w:rPr>
          <w:rFonts w:hint="eastAsia" w:ascii="仿宋" w:hAnsi="仿宋" w:eastAsia="仿宋"/>
          <w:sz w:val="32"/>
          <w:szCs w:val="32"/>
        </w:rPr>
        <w:t>政府性基金预算、国有资本经营预算</w:t>
      </w:r>
      <w:r>
        <w:rPr>
          <w:rFonts w:ascii="仿宋" w:hAnsi="仿宋" w:eastAsia="仿宋"/>
          <w:sz w:val="32"/>
          <w:szCs w:val="32"/>
        </w:rPr>
        <w:t>无收支及结转结余情况，故</w:t>
      </w:r>
      <w:r>
        <w:rPr>
          <w:rFonts w:hint="eastAsia" w:ascii="仿宋" w:hAnsi="仿宋" w:eastAsia="仿宋"/>
          <w:sz w:val="32"/>
          <w:szCs w:val="32"/>
        </w:rPr>
        <w:t>《政府性基金预算财政拨款收入支出决算表》、《国有资本经营预算财政拨款收入支出决算表》均</w:t>
      </w:r>
      <w:r>
        <w:rPr>
          <w:rFonts w:ascii="仿宋" w:hAnsi="仿宋" w:eastAsia="仿宋"/>
          <w:sz w:val="32"/>
          <w:szCs w:val="32"/>
        </w:rPr>
        <w:t>以空表列示。</w:t>
      </w:r>
    </w:p>
    <w:p>
      <w:pPr>
        <w:spacing w:line="584" w:lineRule="exact"/>
        <w:ind w:firstLine="640" w:firstLineChars="200"/>
        <w:rPr>
          <w:rFonts w:ascii="仿宋" w:hAnsi="仿宋" w:eastAsia="仿宋"/>
          <w:sz w:val="32"/>
          <w:szCs w:val="32"/>
        </w:rPr>
      </w:pPr>
      <w:r>
        <w:rPr>
          <w:rFonts w:ascii="仿宋" w:hAnsi="仿宋" w:eastAsia="仿宋"/>
          <w:sz w:val="32"/>
          <w:szCs w:val="32"/>
        </w:rPr>
        <w:t>2、由于决算公开表格中金额数值应当保留两位小数，公开数据为四舍五入计算结果，个别数据合计项与分项之和存在小数点后差额，特此说明。</w:t>
      </w:r>
    </w:p>
    <w:p>
      <w:pPr>
        <w:spacing w:line="584" w:lineRule="exact"/>
        <w:ind w:firstLine="640" w:firstLineChars="200"/>
        <w:rPr>
          <w:rFonts w:ascii="仿宋" w:hAnsi="仿宋" w:eastAsia="仿宋"/>
          <w:sz w:val="32"/>
          <w:szCs w:val="32"/>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0AA3"/>
    <w:multiLevelType w:val="multilevel"/>
    <w:tmpl w:val="59820AA3"/>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332C6"/>
    <w:rsid w:val="000D3CE0"/>
    <w:rsid w:val="001A3B01"/>
    <w:rsid w:val="002C31AB"/>
    <w:rsid w:val="002E47EE"/>
    <w:rsid w:val="00323B43"/>
    <w:rsid w:val="00364CF7"/>
    <w:rsid w:val="003D37D8"/>
    <w:rsid w:val="003D4CC2"/>
    <w:rsid w:val="00426133"/>
    <w:rsid w:val="00431F55"/>
    <w:rsid w:val="00435777"/>
    <w:rsid w:val="004358AB"/>
    <w:rsid w:val="00572C4A"/>
    <w:rsid w:val="006E2C83"/>
    <w:rsid w:val="00730695"/>
    <w:rsid w:val="007309E3"/>
    <w:rsid w:val="00856EA9"/>
    <w:rsid w:val="00886194"/>
    <w:rsid w:val="008B7726"/>
    <w:rsid w:val="008F151B"/>
    <w:rsid w:val="008F623F"/>
    <w:rsid w:val="009E568B"/>
    <w:rsid w:val="00A371FE"/>
    <w:rsid w:val="00A417A1"/>
    <w:rsid w:val="00B328C1"/>
    <w:rsid w:val="00BE550F"/>
    <w:rsid w:val="00D31D50"/>
    <w:rsid w:val="00D51670"/>
    <w:rsid w:val="00E340D2"/>
    <w:rsid w:val="00F268D2"/>
    <w:rsid w:val="00F57907"/>
    <w:rsid w:val="00F65872"/>
    <w:rsid w:val="00FD0B3B"/>
    <w:rsid w:val="1268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1"/>
    <w:qFormat/>
    <w:uiPriority w:val="9"/>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12"/>
    <w:qFormat/>
    <w:uiPriority w:val="9"/>
    <w:pPr>
      <w:keepNext/>
      <w:keepLines/>
      <w:widowControl w:val="0"/>
      <w:adjustRightInd/>
      <w:snapToGrid/>
      <w:spacing w:before="260" w:after="260" w:line="416" w:lineRule="auto"/>
      <w:jc w:val="both"/>
      <w:outlineLvl w:val="1"/>
    </w:pPr>
    <w:rPr>
      <w:rFonts w:ascii="Cambria" w:hAnsi="Cambria" w:eastAsia="宋体" w:cs="Times New Roman"/>
      <w:b/>
      <w:bCs/>
      <w:kern w:val="2"/>
      <w:sz w:val="32"/>
      <w:szCs w:val="32"/>
    </w:rPr>
  </w:style>
  <w:style w:type="paragraph" w:styleId="4">
    <w:name w:val="heading 3"/>
    <w:basedOn w:val="1"/>
    <w:next w:val="1"/>
    <w:link w:val="13"/>
    <w:qFormat/>
    <w:uiPriority w:val="9"/>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semiHidden/>
    <w:unhideWhenUsed/>
    <w:uiPriority w:val="99"/>
    <w:pPr>
      <w:tabs>
        <w:tab w:val="center" w:pos="4153"/>
        <w:tab w:val="right" w:pos="8306"/>
      </w:tabs>
    </w:pPr>
    <w:rPr>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uiPriority w:val="99"/>
    <w:rPr>
      <w:rFonts w:ascii="Tahoma" w:hAnsi="Tahoma"/>
      <w:sz w:val="18"/>
      <w:szCs w:val="18"/>
    </w:rPr>
  </w:style>
  <w:style w:type="character" w:customStyle="1" w:styleId="10">
    <w:name w:val="页脚 Char"/>
    <w:basedOn w:val="8"/>
    <w:link w:val="5"/>
    <w:semiHidden/>
    <w:uiPriority w:val="99"/>
    <w:rPr>
      <w:rFonts w:ascii="Tahoma" w:hAnsi="Tahoma"/>
      <w:sz w:val="18"/>
      <w:szCs w:val="18"/>
    </w:rPr>
  </w:style>
  <w:style w:type="character" w:customStyle="1" w:styleId="11">
    <w:name w:val="标题 1 Char"/>
    <w:basedOn w:val="8"/>
    <w:link w:val="2"/>
    <w:uiPriority w:val="9"/>
    <w:rPr>
      <w:rFonts w:ascii="Times New Roman" w:hAnsi="Times New Roman" w:eastAsia="宋体" w:cs="Times New Roman"/>
      <w:b/>
      <w:bCs/>
      <w:kern w:val="44"/>
      <w:sz w:val="44"/>
      <w:szCs w:val="44"/>
    </w:rPr>
  </w:style>
  <w:style w:type="character" w:customStyle="1" w:styleId="12">
    <w:name w:val="标题 2 Char"/>
    <w:basedOn w:val="8"/>
    <w:link w:val="3"/>
    <w:uiPriority w:val="9"/>
    <w:rPr>
      <w:rFonts w:ascii="Cambria" w:hAnsi="Cambria" w:eastAsia="宋体" w:cs="Times New Roman"/>
      <w:b/>
      <w:bCs/>
      <w:kern w:val="2"/>
      <w:sz w:val="32"/>
      <w:szCs w:val="32"/>
    </w:rPr>
  </w:style>
  <w:style w:type="character" w:customStyle="1" w:styleId="13">
    <w:name w:val="标题 3 Char"/>
    <w:basedOn w:val="8"/>
    <w:link w:val="4"/>
    <w:uiPriority w:val="9"/>
    <w:rPr>
      <w:rFonts w:ascii="Times New Roman" w:hAnsi="Times New Roman" w:eastAsia="宋体" w:cs="Times New Roman"/>
      <w:b/>
      <w:bCs/>
      <w:kern w:val="2"/>
      <w:sz w:val="32"/>
      <w:szCs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299</Words>
  <Characters>1709</Characters>
  <Lines>14</Lines>
  <Paragraphs>4</Paragraphs>
  <TotalTime>361</TotalTime>
  <ScaleCrop>false</ScaleCrop>
  <LinksUpToDate>false</LinksUpToDate>
  <CharactersWithSpaces>2004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2019-11-19T09:35:44Z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